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3B" w:rsidRDefault="00BC7D09" w:rsidP="00F5746F">
      <w:pPr>
        <w:jc w:val="center"/>
      </w:pPr>
      <w:bookmarkStart w:id="0" w:name="_GoBack"/>
      <w:bookmarkEnd w:id="0"/>
      <w:r>
        <w:t>Early Immersion Orientation</w:t>
      </w:r>
    </w:p>
    <w:p w:rsidR="000674F4" w:rsidRDefault="000674F4">
      <w:pPr>
        <w:rPr>
          <w:b/>
        </w:rPr>
      </w:pPr>
      <w:r>
        <w:rPr>
          <w:b/>
        </w:rPr>
        <w:t>What is ambulatory care pharmacy practice?</w:t>
      </w:r>
    </w:p>
    <w:p w:rsidR="00DA0119" w:rsidRDefault="006F2A6A">
      <w:r>
        <w:t>Ambul</w:t>
      </w:r>
      <w:r w:rsidR="00DA0119">
        <w:t>atory care pharmacy practice is the provision of direct patient care in the outpatient setting, typically in a physician or pharmacist-run clinic. Services can include comprehensive medication management (CMM), problem-focused medication management including anticoagulation management, medication reconciliation, counseling and education. Many ambulatory care pharmacists work within a collaborative practice agreement (CPA) that grants prescriptive authority of pre-specified medications, labs, immunizations, etc.</w:t>
      </w:r>
      <w:r w:rsidR="00A7015C">
        <w:t xml:space="preserve"> The work done by pharmacists within a CPA is called collaborative drug therapy management (CDTM). In North Carolina, the clinical pharmacist practitioner (CPP) model represents our CPA.</w:t>
      </w:r>
      <w:r w:rsidR="00DA0119">
        <w:t xml:space="preserve"> </w:t>
      </w:r>
      <w:r w:rsidR="00A7015C">
        <w:t>All pharmacists at MAHEC have their CPP and provide the above services.</w:t>
      </w:r>
    </w:p>
    <w:p w:rsidR="0037285E" w:rsidRPr="0037285E" w:rsidRDefault="0089041E">
      <w:pPr>
        <w:rPr>
          <w:b/>
        </w:rPr>
      </w:pPr>
      <w:r>
        <w:rPr>
          <w:b/>
        </w:rPr>
        <w:t>Rotation overview</w:t>
      </w:r>
    </w:p>
    <w:p w:rsidR="0089041E" w:rsidRDefault="0089041E">
      <w:r>
        <w:t>Early immersio</w:t>
      </w:r>
      <w:r w:rsidR="00664E04">
        <w:t xml:space="preserve">n learners will participate in </w:t>
      </w:r>
      <w:r w:rsidR="00896542">
        <w:t>six</w:t>
      </w:r>
      <w:r w:rsidR="00664E04">
        <w:t xml:space="preserve"> core</w:t>
      </w:r>
      <w:r>
        <w:t xml:space="preserve"> learning experiences over the course of their rotation</w:t>
      </w:r>
      <w:r w:rsidR="00354633">
        <w:t xml:space="preserve"> (# half-days approximate)</w:t>
      </w:r>
      <w:r>
        <w:t>: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 xml:space="preserve">Medication </w:t>
      </w:r>
      <w:r w:rsidR="00AA4899">
        <w:t>reconciliation faculty clinic (3</w:t>
      </w:r>
      <w:r>
        <w:t xml:space="preserve"> half-days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Pharmacotherapy clinic (2 half-days per week)</w:t>
      </w:r>
    </w:p>
    <w:p w:rsidR="00AA4899" w:rsidRDefault="00AA4899" w:rsidP="0089041E">
      <w:pPr>
        <w:pStyle w:val="ListParagraph"/>
        <w:numPr>
          <w:ilvl w:val="0"/>
          <w:numId w:val="1"/>
        </w:numPr>
      </w:pPr>
      <w:r>
        <w:t>Consulting ( 1 half-day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Didactic</w:t>
      </w:r>
      <w:r w:rsidR="0088046F">
        <w:t>s</w:t>
      </w:r>
      <w:r w:rsidR="00230CC8">
        <w:t xml:space="preserve"> (1 half-day per week)</w:t>
      </w:r>
    </w:p>
    <w:p w:rsidR="00354633" w:rsidRDefault="00AA4899" w:rsidP="0089041E">
      <w:pPr>
        <w:pStyle w:val="ListParagraph"/>
        <w:numPr>
          <w:ilvl w:val="0"/>
          <w:numId w:val="1"/>
        </w:numPr>
      </w:pPr>
      <w:r>
        <w:t>Teaching time</w:t>
      </w:r>
      <w:r w:rsidR="00354633">
        <w:t xml:space="preserve"> (1 half-day per week)</w:t>
      </w:r>
    </w:p>
    <w:p w:rsidR="0088046F" w:rsidRDefault="0088046F" w:rsidP="0089041E">
      <w:pPr>
        <w:pStyle w:val="ListParagraph"/>
        <w:numPr>
          <w:ilvl w:val="0"/>
          <w:numId w:val="1"/>
        </w:numPr>
      </w:pPr>
      <w:r>
        <w:t>Student Run Processes/Independent Learning Time (2 half-days per week)</w:t>
      </w:r>
    </w:p>
    <w:p w:rsidR="00664E04" w:rsidRDefault="00664E04" w:rsidP="00664E04">
      <w:r>
        <w:t>Other Activities:</w:t>
      </w:r>
    </w:p>
    <w:p w:rsidR="00664E04" w:rsidRDefault="00664E04" w:rsidP="00664E04">
      <w:pPr>
        <w:pStyle w:val="ListParagraph"/>
        <w:numPr>
          <w:ilvl w:val="0"/>
          <w:numId w:val="2"/>
        </w:numPr>
      </w:pPr>
      <w:r>
        <w:t>Book club – Being Mortal</w:t>
      </w:r>
    </w:p>
    <w:p w:rsidR="009A0680" w:rsidRDefault="009A0680" w:rsidP="00664E04">
      <w:pPr>
        <w:pStyle w:val="ListParagraph"/>
        <w:numPr>
          <w:ilvl w:val="0"/>
          <w:numId w:val="2"/>
        </w:numPr>
      </w:pPr>
      <w:r>
        <w:t>Clinical Pearl for P3 Newsletter</w:t>
      </w:r>
    </w:p>
    <w:p w:rsidR="009A0680" w:rsidRDefault="009A0680" w:rsidP="00664E04">
      <w:pPr>
        <w:pStyle w:val="ListParagraph"/>
        <w:numPr>
          <w:ilvl w:val="0"/>
          <w:numId w:val="2"/>
        </w:numPr>
      </w:pPr>
      <w:r>
        <w:t>Other as requested</w:t>
      </w:r>
    </w:p>
    <w:p w:rsidR="000674F4" w:rsidRDefault="0089041E" w:rsidP="0089041E">
      <w:pPr>
        <w:rPr>
          <w:b/>
        </w:rPr>
      </w:pPr>
      <w:r>
        <w:rPr>
          <w:b/>
        </w:rPr>
        <w:t>Medication reconciliation faculty clinic</w:t>
      </w:r>
      <w:r w:rsidR="00230CC8">
        <w:rPr>
          <w:b/>
        </w:rPr>
        <w:t xml:space="preserve"> (MAHEC </w:t>
      </w:r>
      <w:r w:rsidR="00292C2E">
        <w:rPr>
          <w:b/>
        </w:rPr>
        <w:t xml:space="preserve">at </w:t>
      </w:r>
      <w:r w:rsidR="00230CC8">
        <w:rPr>
          <w:b/>
        </w:rPr>
        <w:t>Biltmore)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How it works:</w:t>
      </w:r>
    </w:p>
    <w:p w:rsidR="006B269F" w:rsidRDefault="006B269F" w:rsidP="006B269F">
      <w:pPr>
        <w:pStyle w:val="ListParagraph"/>
        <w:numPr>
          <w:ilvl w:val="0"/>
          <w:numId w:val="4"/>
        </w:numPr>
      </w:pPr>
      <w:r>
        <w:t xml:space="preserve">Each student will be assigned to one provider for a half-day of patient care. </w:t>
      </w:r>
      <w:r w:rsidR="00F9118C">
        <w:t>(see calendar on wiki site for physician assignments)</w:t>
      </w:r>
    </w:p>
    <w:p w:rsidR="00A7015C" w:rsidRDefault="00A7015C" w:rsidP="006B269F">
      <w:pPr>
        <w:pStyle w:val="ListParagraph"/>
        <w:numPr>
          <w:ilvl w:val="0"/>
          <w:numId w:val="4"/>
        </w:numPr>
      </w:pPr>
      <w:r>
        <w:t>When arriving for faculty clinic:</w:t>
      </w:r>
    </w:p>
    <w:p w:rsidR="00A7015C" w:rsidRDefault="00A7015C" w:rsidP="00A7015C">
      <w:pPr>
        <w:pStyle w:val="ListParagraph"/>
        <w:numPr>
          <w:ilvl w:val="1"/>
          <w:numId w:val="4"/>
        </w:numPr>
      </w:pPr>
      <w:r>
        <w:t>F</w:t>
      </w:r>
      <w:r w:rsidR="00F9118C">
        <w:t>ind the MA you will be working with and introduce your</w:t>
      </w:r>
      <w:r>
        <w:t>self</w:t>
      </w:r>
    </w:p>
    <w:p w:rsidR="0037285E" w:rsidRDefault="00A7015C" w:rsidP="00A7015C">
      <w:pPr>
        <w:pStyle w:val="ListParagraph"/>
        <w:numPr>
          <w:ilvl w:val="1"/>
          <w:numId w:val="4"/>
        </w:numPr>
      </w:pPr>
      <w:r>
        <w:t>Briefly i</w:t>
      </w:r>
      <w:r w:rsidR="0037285E">
        <w:t>ntro</w:t>
      </w:r>
      <w:r w:rsidR="00F9118C">
        <w:t>duce yourself</w:t>
      </w:r>
      <w:r w:rsidR="0037285E">
        <w:t xml:space="preserve"> to the provider</w:t>
      </w:r>
      <w:r w:rsidR="00F9118C">
        <w:t xml:space="preserve"> wi</w:t>
      </w:r>
      <w:r>
        <w:t>th whom you will be working</w:t>
      </w:r>
    </w:p>
    <w:p w:rsidR="0037285E" w:rsidRDefault="0037285E" w:rsidP="006B269F">
      <w:pPr>
        <w:pStyle w:val="ListParagraph"/>
        <w:numPr>
          <w:ilvl w:val="0"/>
          <w:numId w:val="4"/>
        </w:numPr>
      </w:pPr>
      <w:r>
        <w:t>Our expectations:</w:t>
      </w:r>
    </w:p>
    <w:p w:rsidR="00F9118C" w:rsidRDefault="00F9118C" w:rsidP="0037285E">
      <w:pPr>
        <w:pStyle w:val="ListParagraph"/>
        <w:numPr>
          <w:ilvl w:val="1"/>
          <w:numId w:val="4"/>
        </w:numPr>
      </w:pPr>
      <w:r>
        <w:t>Document all of your work in the EHR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Get vitals</w:t>
      </w:r>
      <w:r w:rsidR="00F9118C">
        <w:t xml:space="preserve"> (height, weight, BP)</w:t>
      </w:r>
      <w:r>
        <w:t xml:space="preserve"> if they have not been done already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Goal is to get an accurate med</w:t>
      </w:r>
      <w:r w:rsidR="00F9118C">
        <w:t>ication</w:t>
      </w:r>
      <w:r>
        <w:t xml:space="preserve"> list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lastRenderedPageBreak/>
        <w:t>Write down med-related issues that need to be communicated to the provider on cards at nurses station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You may be rooming the patient yourself or going in after the MA rooms the patient</w:t>
      </w:r>
    </w:p>
    <w:p w:rsidR="0037285E" w:rsidRDefault="00F9118C" w:rsidP="00F9118C">
      <w:pPr>
        <w:pStyle w:val="ListParagraph"/>
        <w:numPr>
          <w:ilvl w:val="1"/>
          <w:numId w:val="4"/>
        </w:numPr>
      </w:pPr>
      <w:r>
        <w:t xml:space="preserve">Your whole interaction with each patient </w:t>
      </w:r>
      <w:r w:rsidR="0037285E">
        <w:t>should take no longer than 10 minutes</w:t>
      </w:r>
    </w:p>
    <w:p w:rsidR="0037285E" w:rsidRDefault="00F9118C" w:rsidP="00F9118C">
      <w:pPr>
        <w:pStyle w:val="ListParagraph"/>
        <w:numPr>
          <w:ilvl w:val="1"/>
          <w:numId w:val="4"/>
        </w:numPr>
        <w:rPr>
          <w:b/>
        </w:rPr>
      </w:pPr>
      <w:r w:rsidRPr="00F9118C">
        <w:rPr>
          <w:b/>
        </w:rPr>
        <w:t>Always a</w:t>
      </w:r>
      <w:r w:rsidR="0037285E" w:rsidRPr="00F9118C">
        <w:rPr>
          <w:b/>
        </w:rPr>
        <w:t xml:space="preserve">sk the provider what he/she would </w:t>
      </w:r>
      <w:r>
        <w:rPr>
          <w:b/>
        </w:rPr>
        <w:t>like you to do and if expectations are different than above, defer to the providers requests.</w:t>
      </w:r>
    </w:p>
    <w:p w:rsidR="003E1D80" w:rsidRPr="00F9118C" w:rsidRDefault="003E1D80" w:rsidP="00F9118C">
      <w:pPr>
        <w:pStyle w:val="ListParagraph"/>
        <w:numPr>
          <w:ilvl w:val="1"/>
          <w:numId w:val="4"/>
        </w:numPr>
        <w:rPr>
          <w:b/>
        </w:rPr>
      </w:pPr>
      <w:r>
        <w:t>If you need assistance from a pharmacist, check consulting or the Clinic Rooms 4&amp;5. Our phone numbers are also posted on the wiki site.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BC7D09" w:rsidTr="00DB68E2">
        <w:tc>
          <w:tcPr>
            <w:tcW w:w="9576" w:type="dxa"/>
            <w:gridSpan w:val="2"/>
          </w:tcPr>
          <w:p w:rsidR="00BC7D09" w:rsidRDefault="00BC7D09" w:rsidP="0089041E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5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Implement a patient-centered care plan in collaboration with the care team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6B269F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Collaborate as a member of an interprofessional team</w:t>
            </w:r>
          </w:p>
        </w:tc>
      </w:tr>
    </w:tbl>
    <w:p w:rsidR="00FB36CF" w:rsidRDefault="00FB36CF" w:rsidP="0089041E"/>
    <w:p w:rsidR="00FB36CF" w:rsidRDefault="00FB36CF" w:rsidP="0089041E">
      <w:pPr>
        <w:rPr>
          <w:b/>
        </w:rPr>
      </w:pPr>
      <w:r>
        <w:rPr>
          <w:b/>
        </w:rPr>
        <w:t>Pharmacotherapy clinic</w:t>
      </w:r>
      <w:r w:rsidR="00A7015C">
        <w:rPr>
          <w:b/>
        </w:rPr>
        <w:t xml:space="preserve"> (multiple locations)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Pharmacists at MAHEC see patients independently</w:t>
      </w:r>
      <w:r w:rsidR="00A7015C">
        <w:t xml:space="preserve"> in pharmacotherapy </w:t>
      </w:r>
      <w:proofErr w:type="spellStart"/>
      <w:r w:rsidR="00A7015C">
        <w:t>clinc</w:t>
      </w:r>
      <w:proofErr w:type="spellEnd"/>
      <w:r>
        <w:t xml:space="preserve"> under the </w:t>
      </w:r>
      <w:r w:rsidR="00A7015C">
        <w:t xml:space="preserve">CPP </w:t>
      </w:r>
      <w:r>
        <w:t>model.</w:t>
      </w:r>
    </w:p>
    <w:p w:rsidR="00230C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be assigned to an attending pharmacist who will precept them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perform vital signs, medication reconciliations and interview patients under the supervision of the attending pharmacist.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are expected to complete the SOAP table template thoroughly and in its entirety for one patient seen during clinic.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a comprehensive medication history interview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Prioritize and develop an assessment of patient’s medication-related problems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Develop a patient-centered care plan to optimize medication use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7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response to medication therapy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9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general procedures of a pharmacist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an oral presentation of a clinical encounter to a pharmacist or other health care professional</w:t>
            </w:r>
          </w:p>
        </w:tc>
      </w:tr>
    </w:tbl>
    <w:p w:rsidR="00FB36CF" w:rsidRDefault="00FB36CF" w:rsidP="0089041E"/>
    <w:p w:rsidR="00F5746F" w:rsidRDefault="00F5746F" w:rsidP="0089041E">
      <w:pPr>
        <w:rPr>
          <w:b/>
        </w:rPr>
      </w:pPr>
    </w:p>
    <w:p w:rsidR="00FB36CF" w:rsidRDefault="002755DE" w:rsidP="0089041E">
      <w:pPr>
        <w:rPr>
          <w:b/>
        </w:rPr>
      </w:pPr>
      <w:r>
        <w:rPr>
          <w:b/>
        </w:rPr>
        <w:t>Student Run Processes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6"/>
        </w:numPr>
      </w:pPr>
      <w:r>
        <w:t>Students will be assigned to different quality improvement initiati</w:t>
      </w:r>
      <w:r w:rsidR="00DA0119">
        <w:t>ves</w:t>
      </w:r>
      <w:r w:rsidR="00A5597D">
        <w:t xml:space="preserve"> and projects</w:t>
      </w:r>
      <w:r w:rsidR="00A70BF3">
        <w:t xml:space="preserve"> to work on independently throughout the month</w:t>
      </w:r>
    </w:p>
    <w:p w:rsidR="00FB36CF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Collaborate as a member of an interprofessional team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Identify system failures and contribute to a culture of safety and improvement</w:t>
            </w:r>
          </w:p>
        </w:tc>
      </w:tr>
    </w:tbl>
    <w:p w:rsidR="00230CC8" w:rsidRDefault="00230CC8" w:rsidP="0089041E"/>
    <w:p w:rsidR="00FB36CF" w:rsidRDefault="00FB36CF" w:rsidP="0089041E">
      <w:pPr>
        <w:rPr>
          <w:b/>
        </w:rPr>
      </w:pPr>
      <w:r>
        <w:rPr>
          <w:b/>
        </w:rPr>
        <w:t>Didactic</w:t>
      </w:r>
      <w:r w:rsidR="00DA0119">
        <w:rPr>
          <w:b/>
        </w:rPr>
        <w:t>s</w:t>
      </w:r>
      <w:r w:rsidR="00882DF0">
        <w:rPr>
          <w:b/>
        </w:rPr>
        <w:t>/Teaching Time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 xml:space="preserve">Students will </w:t>
      </w:r>
      <w:r w:rsidR="00A70BF3">
        <w:t>have 5 of core topic discussions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What is comprehensive medication management (CMM)?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Diabetes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Anticoagulation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Inappropriate prescribing in geriatrics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Grocery store simulation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>Topic discussions can be led by PY4 students, PGY1 or PGY2 residents, or attending pharmacists.</w:t>
      </w:r>
    </w:p>
    <w:p w:rsidR="00F57DC8" w:rsidRDefault="00A70BF3" w:rsidP="00F57DC8">
      <w:pPr>
        <w:pStyle w:val="ListParagraph"/>
        <w:numPr>
          <w:ilvl w:val="0"/>
          <w:numId w:val="7"/>
        </w:numPr>
      </w:pPr>
      <w:r>
        <w:t xml:space="preserve">Readings </w:t>
      </w:r>
      <w:r w:rsidR="00F57DC8">
        <w:t xml:space="preserve">will be provided to students </w:t>
      </w:r>
      <w:r w:rsidR="006F2A6A" w:rsidRPr="00A70BF3">
        <w:t>prior at least one week</w:t>
      </w:r>
      <w:r w:rsidR="006F2A6A">
        <w:t xml:space="preserve"> prior to the discussion. </w:t>
      </w:r>
    </w:p>
    <w:p w:rsidR="00230CC8" w:rsidRPr="00DA0119" w:rsidRDefault="006F2A6A" w:rsidP="0089041E">
      <w:pPr>
        <w:pStyle w:val="ListParagraph"/>
        <w:numPr>
          <w:ilvl w:val="0"/>
          <w:numId w:val="7"/>
        </w:numPr>
        <w:rPr>
          <w:b/>
        </w:rPr>
      </w:pPr>
      <w:r>
        <w:t>Students are expected to read each of the articles in full prior to their topic discussion and come prepared to fully engage in discussion.</w:t>
      </w:r>
    </w:p>
    <w:p w:rsidR="00DA0119" w:rsidRPr="006F2A6A" w:rsidRDefault="00F5746F" w:rsidP="0089041E">
      <w:pPr>
        <w:pStyle w:val="ListParagraph"/>
        <w:numPr>
          <w:ilvl w:val="0"/>
          <w:numId w:val="7"/>
        </w:numPr>
        <w:rPr>
          <w:b/>
        </w:rPr>
      </w:pPr>
      <w:r>
        <w:t>Students may</w:t>
      </w:r>
      <w:r w:rsidR="00DA0119">
        <w:t xml:space="preserve"> also participate in MAHEC Family Medicine Didactics with the medical residents and faculty once a week.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 clinical questions and retrieve evidence to advance patient care</w:t>
            </w:r>
          </w:p>
        </w:tc>
      </w:tr>
    </w:tbl>
    <w:p w:rsidR="00FB36CF" w:rsidRDefault="00FB36CF" w:rsidP="0089041E"/>
    <w:p w:rsidR="00230CC8" w:rsidRDefault="00230CC8" w:rsidP="0089041E">
      <w:pPr>
        <w:rPr>
          <w:b/>
        </w:rPr>
      </w:pPr>
      <w:r>
        <w:rPr>
          <w:b/>
        </w:rPr>
        <w:t>Other activities</w:t>
      </w:r>
      <w:r w:rsidR="00292C2E">
        <w:rPr>
          <w:b/>
        </w:rPr>
        <w:t xml:space="preserve"> (MAHEC at Biltmore)</w:t>
      </w:r>
      <w:r>
        <w:rPr>
          <w:b/>
        </w:rPr>
        <w:t>:</w:t>
      </w:r>
    </w:p>
    <w:p w:rsidR="00230CC8" w:rsidRDefault="00230CC8" w:rsidP="0089041E">
      <w:pPr>
        <w:rPr>
          <w:i/>
        </w:rPr>
      </w:pPr>
      <w:r>
        <w:rPr>
          <w:i/>
        </w:rPr>
        <w:t>Book Club:</w:t>
      </w:r>
    </w:p>
    <w:p w:rsidR="00453186" w:rsidRDefault="00230CC8" w:rsidP="0089041E">
      <w:r>
        <w:t xml:space="preserve">Students will read </w:t>
      </w:r>
      <w:r w:rsidRPr="00230CC8">
        <w:rPr>
          <w:i/>
        </w:rPr>
        <w:t>Being Mortal</w:t>
      </w:r>
      <w:r>
        <w:rPr>
          <w:i/>
        </w:rPr>
        <w:t xml:space="preserve">: Medicine and What Matters in the End </w:t>
      </w:r>
      <w:r>
        <w:t xml:space="preserve">by </w:t>
      </w:r>
      <w:proofErr w:type="spellStart"/>
      <w:r>
        <w:t>Atul</w:t>
      </w:r>
      <w:proofErr w:type="spellEnd"/>
      <w:r>
        <w:t xml:space="preserve"> </w:t>
      </w:r>
      <w:proofErr w:type="spellStart"/>
      <w:r>
        <w:t>Gawande</w:t>
      </w:r>
      <w:proofErr w:type="spellEnd"/>
      <w:r>
        <w:t xml:space="preserve"> and participate in a group discussion</w:t>
      </w:r>
      <w:r w:rsidR="00F57DC8">
        <w:t xml:space="preserve"> reflecting on the reading.</w:t>
      </w:r>
    </w:p>
    <w:p w:rsidR="00453186" w:rsidRPr="00453186" w:rsidRDefault="00453186" w:rsidP="00453186">
      <w:pPr>
        <w:rPr>
          <w:b/>
        </w:rPr>
      </w:pPr>
      <w:r>
        <w:rPr>
          <w:b/>
        </w:rPr>
        <w:lastRenderedPageBreak/>
        <w:t>EI Competency Check List</w:t>
      </w:r>
    </w:p>
    <w:p w:rsidR="00453186" w:rsidRDefault="00F5746F" w:rsidP="00F5746F">
      <w:pPr>
        <w:pStyle w:val="ListParagraph"/>
        <w:numPr>
          <w:ilvl w:val="0"/>
          <w:numId w:val="18"/>
        </w:numPr>
      </w:pPr>
      <w:r>
        <w:t>Vitals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B402E6">
        <w:tc>
          <w:tcPr>
            <w:tcW w:w="604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Vital Sign</w:t>
            </w:r>
          </w:p>
          <w:p w:rsidR="00B402E6" w:rsidRPr="00B402E6" w:rsidRDefault="00B402E6" w:rsidP="00B402E6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Blood pressure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Asks patient about relevant lifestyle related factors (recent exercise, caffeine, medications, usual BP)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cuff correctly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patient correctly (seated with both feet flat on the floor, back supported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Efficiently and accurately measures and reports BP</w:t>
            </w:r>
          </w:p>
          <w:p w:rsidR="00B402E6" w:rsidRDefault="00B402E6" w:rsidP="00B402E6">
            <w:pPr>
              <w:pStyle w:val="ListParagraph"/>
            </w:pPr>
          </w:p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Heart Rate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Respiratory Rate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Height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Weight</w:t>
            </w:r>
          </w:p>
          <w:p w:rsidR="00B402E6" w:rsidRDefault="00B402E6" w:rsidP="00B402E6"/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</w:tbl>
    <w:p w:rsidR="00B402E6" w:rsidRDefault="00B402E6" w:rsidP="00442FE8"/>
    <w:p w:rsidR="00B402E6" w:rsidRDefault="00B402E6" w:rsidP="00F5746F">
      <w:pPr>
        <w:pStyle w:val="ListParagraph"/>
        <w:numPr>
          <w:ilvl w:val="0"/>
          <w:numId w:val="19"/>
        </w:numPr>
      </w:pPr>
      <w:proofErr w:type="spellStart"/>
      <w:r>
        <w:t>Coaguchek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3F63E2">
        <w:tc>
          <w:tcPr>
            <w:tcW w:w="604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>Operation</w:t>
            </w:r>
          </w:p>
          <w:p w:rsidR="00B402E6" w:rsidRPr="00B402E6" w:rsidRDefault="00B402E6" w:rsidP="003F63E2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Inserts test strip into machine to turn it on. Tightly recaps test strip vial.</w:t>
            </w:r>
          </w:p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Matches test strip code to code appearing on the screen. Verbalizes understanding of when to change code chip. Press “M” to prepare the strip.</w:t>
            </w:r>
          </w:p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Cleans patient’s finger with alcohol, allowing it to air dry.</w:t>
            </w:r>
          </w:p>
          <w:p w:rsidR="00B402E6" w:rsidRDefault="00B402E6" w:rsidP="003F63E2"/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Obtains blood sample and applies to strip appropriately.</w:t>
            </w:r>
          </w:p>
          <w:p w:rsidR="00B402E6" w:rsidRDefault="00B402E6" w:rsidP="003F63E2"/>
        </w:tc>
        <w:tc>
          <w:tcPr>
            <w:tcW w:w="126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402E6" w:rsidRDefault="00B402E6" w:rsidP="003F63E2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2680B" w:rsidTr="003F63E2">
        <w:tc>
          <w:tcPr>
            <w:tcW w:w="6048" w:type="dxa"/>
          </w:tcPr>
          <w:p w:rsidR="00B2680B" w:rsidRDefault="00B2680B" w:rsidP="003F63E2">
            <w:r>
              <w:t>Reviews and records result.</w:t>
            </w:r>
          </w:p>
          <w:p w:rsidR="00B2680B" w:rsidRDefault="00B2680B" w:rsidP="003F63E2"/>
        </w:tc>
        <w:tc>
          <w:tcPr>
            <w:tcW w:w="1260" w:type="dxa"/>
          </w:tcPr>
          <w:p w:rsidR="00B2680B" w:rsidRDefault="00B2680B" w:rsidP="009A0E0B">
            <w:pPr>
              <w:jc w:val="center"/>
            </w:pPr>
            <w:r>
              <w:sym w:font="Symbol" w:char="F0F0"/>
            </w:r>
          </w:p>
        </w:tc>
        <w:tc>
          <w:tcPr>
            <w:tcW w:w="1170" w:type="dxa"/>
          </w:tcPr>
          <w:p w:rsidR="00B2680B" w:rsidRDefault="00B2680B" w:rsidP="009A0E0B">
            <w:pPr>
              <w:jc w:val="center"/>
            </w:pPr>
            <w:r>
              <w:sym w:font="Symbol" w:char="F0F0"/>
            </w:r>
          </w:p>
        </w:tc>
        <w:tc>
          <w:tcPr>
            <w:tcW w:w="1098" w:type="dxa"/>
          </w:tcPr>
          <w:p w:rsidR="00B2680B" w:rsidRDefault="00B2680B" w:rsidP="003F63E2">
            <w:pPr>
              <w:jc w:val="center"/>
            </w:pPr>
          </w:p>
        </w:tc>
      </w:tr>
    </w:tbl>
    <w:p w:rsidR="00B402E6" w:rsidRDefault="00B402E6" w:rsidP="00442FE8"/>
    <w:p w:rsidR="00442FE8" w:rsidRDefault="00F5746F" w:rsidP="00F5746F">
      <w:pPr>
        <w:pStyle w:val="ListParagraph"/>
        <w:numPr>
          <w:ilvl w:val="0"/>
          <w:numId w:val="20"/>
        </w:numPr>
      </w:pPr>
      <w:r>
        <w:t>M</w:t>
      </w:r>
      <w:r w:rsidR="00B402E6">
        <w:t>edication Reconciliation Process</w:t>
      </w:r>
      <w:r w:rsidR="0057507F">
        <w:t xml:space="preserve"> – see Medication Reconciliation Document</w:t>
      </w:r>
    </w:p>
    <w:p w:rsidR="00A66BF4" w:rsidRPr="00A66BF4" w:rsidRDefault="0057507F" w:rsidP="00F5746F">
      <w:pPr>
        <w:pStyle w:val="ListParagraph"/>
        <w:numPr>
          <w:ilvl w:val="0"/>
          <w:numId w:val="20"/>
        </w:numPr>
      </w:pPr>
      <w:r>
        <w:t>EHR patient</w:t>
      </w:r>
      <w:r w:rsidR="00453186">
        <w:t xml:space="preserve"> case</w:t>
      </w:r>
      <w:r w:rsidR="00A66BF4">
        <w:t xml:space="preserve"> – watch</w:t>
      </w:r>
      <w:r>
        <w:t xml:space="preserve"> the EHR training</w:t>
      </w:r>
      <w:r w:rsidR="00A66BF4">
        <w:t xml:space="preserve"> video</w:t>
      </w:r>
      <w:r>
        <w:t xml:space="preserve"> in on the wiki page</w:t>
      </w:r>
      <w:r w:rsidR="00A66BF4">
        <w:t xml:space="preserve"> and c</w:t>
      </w:r>
      <w:r>
        <w:t xml:space="preserve">omplete survey monkey questions: </w:t>
      </w:r>
      <w:hyperlink r:id="rId6" w:history="1">
        <w:r w:rsidR="00A66BF4" w:rsidRPr="00F5746F">
          <w:rPr>
            <w:rStyle w:val="Hyperlink"/>
          </w:rPr>
          <w:t>https://www.surveymonkey.com/r/RZYQCTB</w:t>
        </w:r>
      </w:hyperlink>
    </w:p>
    <w:sectPr w:rsidR="00A66BF4" w:rsidRPr="00A6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264"/>
    <w:multiLevelType w:val="hybridMultilevel"/>
    <w:tmpl w:val="5D04E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B44DB0"/>
    <w:multiLevelType w:val="hybridMultilevel"/>
    <w:tmpl w:val="2CE6DE28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3F25E6"/>
    <w:multiLevelType w:val="hybridMultilevel"/>
    <w:tmpl w:val="F9D025E8"/>
    <w:lvl w:ilvl="0" w:tplc="54F83A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94FF3"/>
    <w:multiLevelType w:val="hybridMultilevel"/>
    <w:tmpl w:val="EAECEDB2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0C6303"/>
    <w:multiLevelType w:val="hybridMultilevel"/>
    <w:tmpl w:val="74403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1177D"/>
    <w:multiLevelType w:val="hybridMultilevel"/>
    <w:tmpl w:val="BCD26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4C0D59"/>
    <w:multiLevelType w:val="hybridMultilevel"/>
    <w:tmpl w:val="89D8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91EAC"/>
    <w:multiLevelType w:val="hybridMultilevel"/>
    <w:tmpl w:val="C4DE2DEA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D2482"/>
    <w:multiLevelType w:val="hybridMultilevel"/>
    <w:tmpl w:val="B58AE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232A2"/>
    <w:multiLevelType w:val="hybridMultilevel"/>
    <w:tmpl w:val="6F02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315AE"/>
    <w:multiLevelType w:val="hybridMultilevel"/>
    <w:tmpl w:val="C7AC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C18B3"/>
    <w:multiLevelType w:val="hybridMultilevel"/>
    <w:tmpl w:val="8A3C8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E3CA4"/>
    <w:multiLevelType w:val="hybridMultilevel"/>
    <w:tmpl w:val="77764BA2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F64838"/>
    <w:multiLevelType w:val="hybridMultilevel"/>
    <w:tmpl w:val="AB74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80100F"/>
    <w:multiLevelType w:val="hybridMultilevel"/>
    <w:tmpl w:val="77764BA2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15C3F"/>
    <w:multiLevelType w:val="hybridMultilevel"/>
    <w:tmpl w:val="3542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F38C2"/>
    <w:multiLevelType w:val="hybridMultilevel"/>
    <w:tmpl w:val="647EA668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E65331"/>
    <w:multiLevelType w:val="hybridMultilevel"/>
    <w:tmpl w:val="8F2AB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5F33CC9"/>
    <w:multiLevelType w:val="hybridMultilevel"/>
    <w:tmpl w:val="C5DE7F30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107ED6"/>
    <w:multiLevelType w:val="hybridMultilevel"/>
    <w:tmpl w:val="7CBA6950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5"/>
  </w:num>
  <w:num w:numId="5">
    <w:abstractNumId w:val="13"/>
  </w:num>
  <w:num w:numId="6">
    <w:abstractNumId w:val="4"/>
  </w:num>
  <w:num w:numId="7">
    <w:abstractNumId w:val="6"/>
  </w:num>
  <w:num w:numId="8">
    <w:abstractNumId w:val="17"/>
  </w:num>
  <w:num w:numId="9">
    <w:abstractNumId w:val="18"/>
  </w:num>
  <w:num w:numId="10">
    <w:abstractNumId w:val="7"/>
  </w:num>
  <w:num w:numId="11">
    <w:abstractNumId w:val="14"/>
  </w:num>
  <w:num w:numId="12">
    <w:abstractNumId w:val="12"/>
  </w:num>
  <w:num w:numId="13">
    <w:abstractNumId w:val="1"/>
  </w:num>
  <w:num w:numId="14">
    <w:abstractNumId w:val="2"/>
  </w:num>
  <w:num w:numId="15">
    <w:abstractNumId w:val="9"/>
  </w:num>
  <w:num w:numId="16">
    <w:abstractNumId w:val="0"/>
  </w:num>
  <w:num w:numId="17">
    <w:abstractNumId w:val="5"/>
  </w:num>
  <w:num w:numId="18">
    <w:abstractNumId w:val="16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1E"/>
    <w:rsid w:val="00050203"/>
    <w:rsid w:val="000674F4"/>
    <w:rsid w:val="000B607B"/>
    <w:rsid w:val="00230CC8"/>
    <w:rsid w:val="002755DE"/>
    <w:rsid w:val="00292C2E"/>
    <w:rsid w:val="002E493B"/>
    <w:rsid w:val="00303E24"/>
    <w:rsid w:val="00354633"/>
    <w:rsid w:val="0037285E"/>
    <w:rsid w:val="003E1D80"/>
    <w:rsid w:val="00442FE8"/>
    <w:rsid w:val="00453186"/>
    <w:rsid w:val="005154EC"/>
    <w:rsid w:val="0057507F"/>
    <w:rsid w:val="005D6549"/>
    <w:rsid w:val="00664E04"/>
    <w:rsid w:val="006B269F"/>
    <w:rsid w:val="006F1609"/>
    <w:rsid w:val="006F2A6A"/>
    <w:rsid w:val="00714EAB"/>
    <w:rsid w:val="007C2692"/>
    <w:rsid w:val="0088046F"/>
    <w:rsid w:val="00882DF0"/>
    <w:rsid w:val="0089041E"/>
    <w:rsid w:val="00896542"/>
    <w:rsid w:val="009A0680"/>
    <w:rsid w:val="00A31E5A"/>
    <w:rsid w:val="00A5597D"/>
    <w:rsid w:val="00A66BF4"/>
    <w:rsid w:val="00A7015C"/>
    <w:rsid w:val="00A70BF3"/>
    <w:rsid w:val="00AA4899"/>
    <w:rsid w:val="00B2680B"/>
    <w:rsid w:val="00B402E6"/>
    <w:rsid w:val="00B52784"/>
    <w:rsid w:val="00BC7D09"/>
    <w:rsid w:val="00BF2A99"/>
    <w:rsid w:val="00C0637D"/>
    <w:rsid w:val="00C078CF"/>
    <w:rsid w:val="00DA0119"/>
    <w:rsid w:val="00DF6AB7"/>
    <w:rsid w:val="00E16C26"/>
    <w:rsid w:val="00E25E46"/>
    <w:rsid w:val="00EA0FAA"/>
    <w:rsid w:val="00F00FE8"/>
    <w:rsid w:val="00F5746F"/>
    <w:rsid w:val="00F57DC8"/>
    <w:rsid w:val="00F9118C"/>
    <w:rsid w:val="00FB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urveymonkey.com/r/RZYQCT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5723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MAHEC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Park</dc:creator>
  <cp:lastModifiedBy>Tasha Woodall</cp:lastModifiedBy>
  <cp:revision>2</cp:revision>
  <dcterms:created xsi:type="dcterms:W3CDTF">2017-03-06T15:39:00Z</dcterms:created>
  <dcterms:modified xsi:type="dcterms:W3CDTF">2017-03-06T15:39:00Z</dcterms:modified>
</cp:coreProperties>
</file>